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                   HUBERT IZDEBSKI</w:t>
      </w:r>
    </w:p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PROF.ZWYCZ. W SWPS UNIWERSYTECIE HUMANISTYCZNOSPO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>Ł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ECZNYM</w:t>
      </w:r>
    </w:p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 xml:space="preserve">                                             WYDZIA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 xml:space="preserve">Ł </w:t>
      </w:r>
      <w:r>
        <w:rPr>
          <w:rFonts w:ascii="Calibri" w:cs="Calibri" w:hAnsi="Calibri" w:eastAsia="Calibri"/>
          <w:b w:val="1"/>
          <w:bCs w:val="1"/>
          <w:sz w:val="16"/>
          <w:szCs w:val="16"/>
          <w:rtl w:val="0"/>
          <w:lang w:val="de-DE"/>
        </w:rPr>
        <w:t>PRAWA</w:t>
      </w:r>
    </w:p>
    <w:p>
      <w:pPr>
        <w:pStyle w:val="Normal.0"/>
        <w:spacing w:after="0"/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16"/>
          <w:szCs w:val="16"/>
          <w:rtl w:val="0"/>
        </w:rPr>
        <w:t xml:space="preserve">                                       radca prawny, adwokat</w:t>
      </w:r>
    </w:p>
    <w:p>
      <w:pPr>
        <w:pStyle w:val="Normal.0"/>
        <w:spacing w:after="0"/>
        <w:rPr>
          <w:b w:val="1"/>
          <w:bCs w:val="1"/>
          <w:sz w:val="16"/>
          <w:szCs w:val="16"/>
        </w:rPr>
      </w:pPr>
    </w:p>
    <w:p>
      <w:pPr>
        <w:pStyle w:val="Normal.0"/>
        <w:spacing w:after="0"/>
        <w:jc w:val="right"/>
      </w:pPr>
      <w:r>
        <w:rPr>
          <w:rtl w:val="0"/>
        </w:rPr>
        <w:t>Warszawa, 27 listopada 2017 r.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OPINIA W PRZEDMIOCIE OGRANICZENIA BIERNEGO PRAWA WYBORCZEGO</w:t>
      </w:r>
    </w:p>
    <w:p>
      <w:pPr>
        <w:pStyle w:val="Normal.0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W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JT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W, BURMISTRZ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W I PREZYDENT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W MIAST</w:t>
      </w:r>
    </w:p>
    <w:p>
      <w:pPr>
        <w:pStyle w:val="Normal.0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W PROJEKCIE USTAWY O ZMIANIE NIEKT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RYCH USTAW W CELU ZWI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KSZENIA</w:t>
      </w:r>
    </w:p>
    <w:p>
      <w:pPr>
        <w:pStyle w:val="Normal.0"/>
        <w:spacing w:after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UDZIA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U OBYWATELI W PROCESIE WYBIERANIA, FUNKCJONOWANIA I KONTROLOWANIA NIEKT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RYCH ORGAN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Ó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W PUBLICZNYCH</w:t>
      </w:r>
    </w:p>
    <w:p>
      <w:pPr>
        <w:pStyle w:val="Normal.0"/>
        <w:spacing w:after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 zapoznaniu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z art. 4, 13 i 14 poselskiego projektu ustawy powo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anego w tytule (druk Sejmu nr 2001), dalej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lanego jako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Projekt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,  jak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wnie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, pozostaj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cym w funkcjonalnym 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zku z tymi przepisami Projektu, art. 121 projektu ustawy o jawno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  <w:lang w:val="it-IT"/>
        </w:rPr>
        <w:t xml:space="preserve">ci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ycia publicznego (projekt z 23.10.2017 r. na stronie internetowej Rz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dowego Centrum Legislacji), pozwalam sobie przedstawi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opini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przedmiocie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lonym w tytule.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u w:color="000000"/>
          <w:rtl w:val="0"/>
        </w:rPr>
        <w:t>W Projekcie, w ramach przewidzianych w nim  licznych zmian w ustawie z dnia 5 stycznia 2011 r. Kodeks wyborczy (przy nieaktualnym powo</w:t>
      </w:r>
      <w:r>
        <w:rPr>
          <w:sz w:val="24"/>
          <w:szCs w:val="24"/>
          <w:u w:color="000000"/>
          <w:rtl w:val="0"/>
        </w:rPr>
        <w:t>ł</w:t>
      </w:r>
      <w:r>
        <w:rPr>
          <w:sz w:val="24"/>
          <w:szCs w:val="24"/>
          <w:u w:color="000000"/>
          <w:rtl w:val="0"/>
        </w:rPr>
        <w:t>aniu tekstu tej ustawy - jako Dz. U. z 2011 r., Nr 21, poz. 112, z p</w:t>
      </w:r>
      <w:r>
        <w:rPr>
          <w:sz w:val="24"/>
          <w:szCs w:val="24"/>
          <w:u w:color="000000"/>
          <w:rtl w:val="0"/>
        </w:rPr>
        <w:t>óź</w:t>
      </w:r>
      <w:r>
        <w:rPr>
          <w:sz w:val="24"/>
          <w:szCs w:val="24"/>
          <w:u w:color="000000"/>
          <w:rtl w:val="0"/>
        </w:rPr>
        <w:t>n. zm., podczas gdy powinno by</w:t>
      </w:r>
      <w:r>
        <w:rPr>
          <w:sz w:val="24"/>
          <w:szCs w:val="24"/>
          <w:u w:color="000000"/>
          <w:rtl w:val="0"/>
        </w:rPr>
        <w:t>ć</w:t>
      </w:r>
      <w:r>
        <w:rPr>
          <w:sz w:val="24"/>
          <w:szCs w:val="24"/>
          <w:u w:color="000000"/>
          <w:rtl w:val="0"/>
        </w:rPr>
        <w:t>: Dz.U. z 2017 r. poz. 5, z p</w:t>
      </w:r>
      <w:r>
        <w:rPr>
          <w:sz w:val="24"/>
          <w:szCs w:val="24"/>
          <w:u w:color="000000"/>
          <w:rtl w:val="0"/>
        </w:rPr>
        <w:t>óź</w:t>
      </w:r>
      <w:r>
        <w:rPr>
          <w:sz w:val="24"/>
          <w:szCs w:val="24"/>
          <w:u w:color="000000"/>
          <w:rtl w:val="0"/>
        </w:rPr>
        <w:t xml:space="preserve">n.zm. </w:t>
      </w:r>
      <w:r>
        <w:rPr>
          <w:sz w:val="24"/>
          <w:szCs w:val="24"/>
          <w:u w:color="000000"/>
          <w:rtl w:val="0"/>
        </w:rPr>
        <w:t xml:space="preserve">– </w:t>
      </w:r>
      <w:r>
        <w:rPr>
          <w:sz w:val="24"/>
          <w:szCs w:val="24"/>
          <w:u w:color="000000"/>
          <w:rtl w:val="0"/>
        </w:rPr>
        <w:t>ustawa ta jest dalej okre</w:t>
      </w:r>
      <w:r>
        <w:rPr>
          <w:sz w:val="24"/>
          <w:szCs w:val="24"/>
          <w:u w:color="000000"/>
          <w:rtl w:val="0"/>
        </w:rPr>
        <w:t>ś</w:t>
      </w:r>
      <w:r>
        <w:rPr>
          <w:sz w:val="24"/>
          <w:szCs w:val="24"/>
          <w:u w:color="000000"/>
          <w:rtl w:val="0"/>
        </w:rPr>
        <w:t xml:space="preserve">lana jako </w:t>
      </w:r>
      <w:r>
        <w:rPr>
          <w:sz w:val="24"/>
          <w:szCs w:val="24"/>
          <w:u w:color="000000"/>
          <w:rtl w:val="0"/>
        </w:rPr>
        <w:t>„</w:t>
      </w:r>
      <w:r>
        <w:rPr>
          <w:sz w:val="24"/>
          <w:szCs w:val="24"/>
          <w:u w:color="000000"/>
          <w:rtl w:val="0"/>
        </w:rPr>
        <w:t>Kodeks</w:t>
      </w:r>
      <w:r>
        <w:rPr>
          <w:sz w:val="24"/>
          <w:szCs w:val="24"/>
          <w:u w:color="000000"/>
          <w:rtl w:val="0"/>
        </w:rPr>
        <w:t>”</w:t>
      </w:r>
      <w:r>
        <w:rPr>
          <w:sz w:val="24"/>
          <w:szCs w:val="24"/>
          <w:u w:color="000000"/>
          <w:rtl w:val="0"/>
        </w:rPr>
        <w:t>), proponowane jest (art. 4 pkt 126 Projektu) nowe brzmienie art. 472, w tym nast</w:t>
      </w:r>
      <w:r>
        <w:rPr>
          <w:sz w:val="24"/>
          <w:szCs w:val="24"/>
          <w:u w:color="000000"/>
          <w:rtl w:val="0"/>
        </w:rPr>
        <w:t>ę</w:t>
      </w:r>
      <w:r>
        <w:rPr>
          <w:sz w:val="24"/>
          <w:szCs w:val="24"/>
          <w:u w:color="000000"/>
          <w:rtl w:val="0"/>
        </w:rPr>
        <w:t>puj</w:t>
      </w:r>
      <w:r>
        <w:rPr>
          <w:sz w:val="24"/>
          <w:szCs w:val="24"/>
          <w:u w:color="000000"/>
          <w:rtl w:val="0"/>
        </w:rPr>
        <w:t>ą</w:t>
      </w:r>
      <w:r>
        <w:rPr>
          <w:sz w:val="24"/>
          <w:szCs w:val="24"/>
          <w:u w:color="000000"/>
          <w:rtl w:val="0"/>
        </w:rPr>
        <w:t xml:space="preserve">ce brzmienie </w:t>
      </w:r>
      <w:r>
        <w:rPr>
          <w:sz w:val="24"/>
          <w:szCs w:val="24"/>
          <w:u w:color="000000"/>
          <w:rtl w:val="0"/>
        </w:rPr>
        <w:t xml:space="preserve">§ </w:t>
      </w:r>
      <w:r>
        <w:rPr>
          <w:sz w:val="24"/>
          <w:szCs w:val="24"/>
          <w:u w:color="000000"/>
          <w:rtl w:val="0"/>
          <w:lang w:val="ru-RU"/>
        </w:rPr>
        <w:t xml:space="preserve">3: </w:t>
      </w:r>
      <w:r>
        <w:rPr>
          <w:sz w:val="24"/>
          <w:szCs w:val="24"/>
          <w:u w:color="000000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Kandydatem na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jta nie mo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ż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 by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osoba,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ra zosta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a wybrana dwukrotnie na 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funkcj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wyborach powszechnych. Zakaz, o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rym mowa w zdaniu pierwszym nie ma zastosowania do wyboru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jta dokonanego w wyniku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przedterminowych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W uzasadnieniu Projektu znale</w:t>
      </w:r>
      <w:r>
        <w:rPr>
          <w:sz w:val="24"/>
          <w:szCs w:val="24"/>
          <w:rtl w:val="0"/>
        </w:rPr>
        <w:t xml:space="preserve">źć </w:t>
      </w:r>
      <w:r>
        <w:rPr>
          <w:sz w:val="24"/>
          <w:szCs w:val="24"/>
          <w:rtl w:val="0"/>
        </w:rPr>
        <w:t>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na 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wyja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nienie tej propozycji: </w:t>
      </w:r>
      <w:r>
        <w:rPr>
          <w:sz w:val="24"/>
          <w:szCs w:val="24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Projektodawcy wprowadzaj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zasad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dwukadencyjno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ci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burmistrz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prezydent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miast. Wybory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jta, burmistrza i prezydenta miasta dotychczas nie by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y obj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te zasad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kadencyjno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ci. Dochodzi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o 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 do sytuacji, w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rych jedna osoba mog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a zajmowa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wymienione powy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ż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ej stanowisko przez kilkana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cie lat. Wprowadzenie ograniczenia w sprawowaniu urz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du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jta, burmistrza, prezydenta miasta ma na celu m.in. wykluczenie zjawisk niepo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żą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danych. Takimi zjawiskami mo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ż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 by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powstanie szerokorozumianych powi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korupcjogennych, powstawanie grup interes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niekoniecznie zwi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zanych z rozwojem gminy czy miasta. Wprowadzenie limitu dw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ch kadencji spowoduje 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wnie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usprawnienie pracy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jta, poprzez intensyfikacj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jego prac w okresie kadencji, w zakresie przeprowadzenia wszystkich zaplanowanych pomys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na rozw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 spo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eczno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ci lokalnych. Limit dw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ch kadencji pozwoli 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wnie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na nadawanie nowych impuls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do rozwoju gmin i miast.</w:t>
      </w:r>
      <w:r>
        <w:rPr>
          <w:sz w:val="24"/>
          <w:szCs w:val="24"/>
          <w:rtl w:val="0"/>
        </w:rPr>
        <w:t>”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ind w:firstLine="708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 powy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sz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propozycj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wi</w:t>
      </w:r>
      <w:r>
        <w:rPr>
          <w:sz w:val="24"/>
          <w:szCs w:val="24"/>
          <w:rtl w:val="0"/>
        </w:rPr>
        <w:t>ąż</w:t>
      </w:r>
      <w:r>
        <w:rPr>
          <w:sz w:val="24"/>
          <w:szCs w:val="24"/>
          <w:rtl w:val="0"/>
        </w:rPr>
        <w:t>e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proponowana zmiana art. 479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2 pkt 1 Kodeksu, polegaj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ca na uzupe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nieniu tre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pisemnego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wiadczenia kandydata o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wiadczenie o niespe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nianiu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anki, o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rej mowa w art. 472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3 (kt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ra nb. by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aby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sytuacja braku wybieralno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ci). Jest oczywiste,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aby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wiadczenie to mog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one w spos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b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wiadomy,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lenie przedmiotowej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anki powinno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jednoznaczne. Tymczasem proponowane brzmienie bynajmniej nie jest jednoznaczne.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 pierwsze, literalnie proponuje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- jako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ank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- dwukrotny wyb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 na funkcj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  <w:lang w:val="en-US"/>
        </w:rPr>
        <w:t>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jta, bez wzgl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du na to, czy nast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pi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on na dwie kolejne kadencje, czy na jakiekolwiek kadencje. Oznacza to, po drugim wyborze, do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ywotni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dyskwalifikacj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kandydata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wcale zreszt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niewynikaj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wprost z uzasadnienia, a budz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zasadnicze w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tpliwo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z punktu widzenia konstytucyjnych zasad dopuszczalno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ograniczania wolno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i praw cz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owieka i obywatela, w tym przypadku ograniczenia biernego prawa wyborczego oraz prawa dost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 na jednakowych zasadach do 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by publicznej. 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 zaznaczy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Konstytucja RP wprost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la kadencj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lonych centralnych organ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w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adzy publicznej: wszystkich wybieranych w wyborach bezpo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rednich (Sejmu, Senatu, Prezydenta) i niekt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rych wybieranych lub powo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ywanych w spos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po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redni; w odniesieniu do niekt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rych organ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kolegialnych Konstytucja przewiduje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liwo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skr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cenia kadencji, jak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wnie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w odniesieniu do niekt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rych organ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wskazuje dopuszczaln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liczb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kadencji. 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 to rozumie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jako nakazanie ustawodawcy co najmniej rozwa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enia potrzeby, je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eli ustawodawca ma taki zamiar, ograniczenia liczby kadencji ka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dego innego organu w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adzy publicznej w ramach jego misji, jak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wnie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starannego uzasadnienia dokonania takiego rozstrzygni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cia; w przedmiotowym przypadku uzasadnienie trudno uzna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za staranne. Trybuna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Konstytucyjny w wyroku z 15 lipca 2009 r. (sygn. akt K 64/07) wskaza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jak w sprawach 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zanych z kadencyjno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powinien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 xml:space="preserve">przeprowadzany odpowiednio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rachunek aksjologiczny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rego wci</w:t>
      </w:r>
      <w:r>
        <w:rPr>
          <w:sz w:val="24"/>
          <w:szCs w:val="24"/>
          <w:rtl w:val="0"/>
        </w:rPr>
        <w:t>ąż</w:t>
      </w:r>
      <w:r>
        <w:rPr>
          <w:sz w:val="24"/>
          <w:szCs w:val="24"/>
          <w:rtl w:val="0"/>
        </w:rPr>
        <w:t xml:space="preserve">, w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wietle sformu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owa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uzasadnienia brakuje. Zarazem 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 przypomnie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pozbawienie biernego prawa wyborczego do Sejmu i Senatu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skazanych prawomocnym wyrokiem na kar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pozbawienia wolno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za przest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pstwo umy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lne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cigane z oskar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enia publicznego wymaga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zmiany Konstytucji, dokonanej w dniu 7 maja 2009 r.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W ka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dym razie, je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eli zamiarem ustawodawcy, jak mog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oby to wynika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z uzasadnienia Projektu, by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wprowadzenie zakazu 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nienia w wyniku wybor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powszechnych trzeciej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kolejnej </w:t>
      </w:r>
      <w:r>
        <w:rPr>
          <w:sz w:val="24"/>
          <w:szCs w:val="24"/>
          <w:rtl w:val="0"/>
        </w:rPr>
        <w:t>kadencji (wyk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adnia funkcjonalna proponowanego przepisu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wnie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powinna prowadzi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do dekodowania takiego zamiaru), powinno to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 xml:space="preserve">wprost zapisane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poprzez dodanie po wyrazach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na t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funkcj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  <w:lang w:val="en-US"/>
        </w:rPr>
        <w:t>w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 xml:space="preserve">wyrazu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kolejnych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 wt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re, mowa jest o wybraniu dwukrotnie w wyborach powszechnych. Niew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tpliwie wy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cza to 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jt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i ich odpowiednik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wybranych przez rad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gminy na podstawie art. 482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 xml:space="preserve">2 albo </w:t>
      </w:r>
      <m:oMath>
        <m:r>
          <m:t>§</m:t>
        </m:r>
      </m:oMath>
      <w:r>
        <w:rPr>
          <w:sz w:val="24"/>
          <w:szCs w:val="24"/>
          <w:rtl w:val="0"/>
        </w:rPr>
        <w:t xml:space="preserve"> 4 Kodeksu, ale literalnie nakazuje zada</w:t>
      </w:r>
      <w:r>
        <w:rPr>
          <w:sz w:val="24"/>
          <w:szCs w:val="24"/>
          <w:rtl w:val="0"/>
        </w:rPr>
        <w:t xml:space="preserve">ć – </w:t>
      </w:r>
      <w:r>
        <w:rPr>
          <w:sz w:val="24"/>
          <w:szCs w:val="24"/>
          <w:rtl w:val="0"/>
        </w:rPr>
        <w:t>w sytuacji, w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rej nie sz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o by o kolejne kadencje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pytanie, czy liczy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jakiekolwiek kadencje odbyte przed wej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ciem w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ycie projektowanej ustawy (oczywi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cie od czasu wprowadzenia powszechnych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a przede wszystkim bezpo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rednich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wybor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jt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burmistrz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i prezydent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miast). Odpowied</w:t>
      </w:r>
      <w:r>
        <w:rPr>
          <w:sz w:val="24"/>
          <w:szCs w:val="24"/>
          <w:rtl w:val="0"/>
        </w:rPr>
        <w:t xml:space="preserve">ź </w:t>
      </w:r>
      <w:r>
        <w:rPr>
          <w:sz w:val="24"/>
          <w:szCs w:val="24"/>
          <w:rtl w:val="0"/>
        </w:rPr>
        <w:t>na to pytanie nie musi znale</w:t>
      </w:r>
      <w:r>
        <w:rPr>
          <w:sz w:val="24"/>
          <w:szCs w:val="24"/>
          <w:rtl w:val="0"/>
        </w:rPr>
        <w:t xml:space="preserve">źć </w:t>
      </w:r>
      <w:r>
        <w:rPr>
          <w:sz w:val="24"/>
          <w:szCs w:val="24"/>
          <w:rtl w:val="0"/>
        </w:rPr>
        <w:t>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w analizowanym przepisie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ale tym bardziej nakazuje ona precyzyjne zredagowanie odpowiedniego przepisu intertemporalnego.</w:t>
      </w:r>
    </w:p>
    <w:p>
      <w:pPr>
        <w:pStyle w:val="List Paragraph"/>
        <w:tabs>
          <w:tab w:val="left" w:pos="3834"/>
        </w:tabs>
        <w:spacing w:after="0"/>
        <w:ind w:left="0" w:firstLine="0"/>
        <w:jc w:val="both"/>
        <w:rPr>
          <w:sz w:val="12"/>
          <w:szCs w:val="12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Przepisem takim ma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  <w:lang w:val="de-DE"/>
        </w:rPr>
        <w:t>art. 13 Projektu. Podj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ta jest w nim pr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ba wskazania terminu, od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rego powinno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zacz</w:t>
      </w:r>
      <w:r>
        <w:rPr>
          <w:sz w:val="24"/>
          <w:szCs w:val="24"/>
          <w:rtl w:val="0"/>
        </w:rPr>
        <w:t xml:space="preserve">ąć </w:t>
      </w:r>
      <w:r>
        <w:rPr>
          <w:sz w:val="24"/>
          <w:szCs w:val="24"/>
          <w:rtl w:val="0"/>
        </w:rPr>
        <w:t>liczy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(jak</w:t>
      </w:r>
      <w:r>
        <w:rPr>
          <w:sz w:val="24"/>
          <w:szCs w:val="24"/>
          <w:rtl w:val="0"/>
        </w:rPr>
        <w:t>ąś</w:t>
      </w:r>
      <w:r>
        <w:rPr>
          <w:sz w:val="24"/>
          <w:szCs w:val="24"/>
          <w:rtl w:val="0"/>
        </w:rPr>
        <w:t>) dwukrotno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wyboru na funkcj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  <w:lang w:val="en-US"/>
        </w:rPr>
        <w:t>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jta w wyborach powszechnych: </w:t>
      </w:r>
      <w:r>
        <w:rPr>
          <w:sz w:val="24"/>
          <w:szCs w:val="24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Przepisy art. 4 pkt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126, 128 i 129 ustawy, o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rej mowa w art. 4 w brzmieniu nadanym niniejsz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ustaw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maj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zastosowanie po raz pierwszy do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burmistrz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i prezydent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miast, przeprowadzonych na obszarze ca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ego kraju, zarz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dzonych w zwi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zku z up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ywem obecnej kadencji organ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jednostek samorz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du terytorialnego wybranych w wyborach samorz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dowych, pocz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wszy od 16 listopada 2014 r.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nl-NL"/>
        </w:rPr>
        <w:t>Ten ma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klarowny przepis -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 xml:space="preserve">ry 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czy w sobie w istocie dwie r</w:t>
      </w:r>
      <w:r>
        <w:rPr>
          <w:sz w:val="24"/>
          <w:szCs w:val="24"/>
          <w:rtl w:val="0"/>
        </w:rPr>
        <w:t>óż</w:t>
      </w:r>
      <w:r>
        <w:rPr>
          <w:sz w:val="24"/>
          <w:szCs w:val="24"/>
          <w:rtl w:val="0"/>
        </w:rPr>
        <w:t>ne kwestie: kadencyjno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ra, je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eli chodzi o dwie kadencje od 2018 r., 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 xml:space="preserve">dzie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konsumowana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przez okres dw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ch kadencji (pkt 126) oraz zastosowania po raz pierwszy i sta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ego odt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d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konsumowania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pozosta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ych dw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ch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- tak oto wyja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niany jest w uzasadnieniu Projektu: </w:t>
      </w:r>
      <w:r>
        <w:rPr>
          <w:sz w:val="24"/>
          <w:szCs w:val="24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Wprowadzona kadencyjno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ść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zgodnie z za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ż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eniem b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dzie mia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a zastosowanie po raz pierwszy do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burmistrz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i prezydent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miast, przeprowadzonych na obszarze ca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ego kraju, zarz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dzonych w zwi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zku z up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ywem obecnej kadencji organ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jednostek samorz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du terytorialnego wybranych w wyborach samorz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dowych, pocz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wszy od 16 listopada 2014 r.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czyli od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maj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cych odby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si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roku 2018.</w:t>
      </w:r>
      <w:r>
        <w:rPr>
          <w:sz w:val="24"/>
          <w:szCs w:val="24"/>
          <w:rtl w:val="0"/>
        </w:rPr>
        <w:t xml:space="preserve">” – </w:t>
      </w:r>
      <w:r>
        <w:rPr>
          <w:sz w:val="24"/>
          <w:szCs w:val="24"/>
          <w:rtl w:val="0"/>
        </w:rPr>
        <w:t>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 jest klarowniejsze, ale, niezale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nie od tego,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w oczywisty spos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nie ma mocy normatywnej, nie jest wystarczaj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co klarowne, bowiem u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ywa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nim niewyst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cego w 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zyku prawnym i niemaj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cego klarownej tre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w 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zyku potocznym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lenia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kadencyjno</w:t>
      </w:r>
      <w:r>
        <w:rPr>
          <w:sz w:val="24"/>
          <w:szCs w:val="24"/>
          <w:rtl w:val="0"/>
        </w:rPr>
        <w:t>ść”</w:t>
      </w:r>
      <w:r>
        <w:rPr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Nie powinno przy tym ulega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  <w:lang w:val="en-US"/>
        </w:rPr>
        <w:t>w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tpliwo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  <w:lang w:val="it-IT"/>
        </w:rPr>
        <w:t xml:space="preserve">ci,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w demokratycznym pa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stwie prawnym dopuszczalne jest - w razie przeprowadzenia przekonywuj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cego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rachunku aksjologicznego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-wprowadzenie ograniczenia liczby kadencji, jak i wszelkich innych ogranicze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biernego prawa wyborczego, tylko na przysz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>. Zasad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potwierdzi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sam ustawodawca konstytucyjny, gdy wprowadzone powo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ustaw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 zmianie Konstytucji z 7 maja 2009 r. ograniczenie biernego prawa wyborczego do Sejmu i Senatu nakaza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stosowa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dopiero od kadencji 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po kadencji, w czasie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rej ustawa ta wesz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a w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ycie. 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W konsekwencji, je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eli przyj</w:t>
      </w:r>
      <w:r>
        <w:rPr>
          <w:sz w:val="24"/>
          <w:szCs w:val="24"/>
          <w:rtl w:val="0"/>
        </w:rPr>
        <w:t>ąć</w:t>
      </w:r>
      <w:r>
        <w:rPr>
          <w:sz w:val="24"/>
          <w:szCs w:val="24"/>
          <w:rtl w:val="0"/>
        </w:rPr>
        <w:t>, 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intencj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projektodawc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mog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jedynie rozpocz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cie liczenia dw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ch kadencji od kadencji zaczynaj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cej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2018 r., stwierdzi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  <w:lang w:val="it-IT"/>
        </w:rPr>
        <w:t>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y,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intencja ta nie znajduje dostatecznego uzewn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trznienia w analizowanym przepisie Projektu.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Uzewn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trznienie to mog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oby nast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pi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przez przeredagowanie przepisu obecnego art. 13, w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poprzez nadanie mu 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cego brzmienia:  </w:t>
      </w: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List Paragraph"/>
        <w:spacing w:after="0"/>
        <w:jc w:val="both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1. Przepis art. 4 pkt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126 ustawy, o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rej mowa w art. 4 w brzmieniu nadanym niniejsz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ustaw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, ma w zakresie pierwszego z dw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ch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o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rych mowa w tym przepisie, zastosowanie do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burmistrz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i prezydent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miast, przeprowadzonych na obszarze ca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ego kraju, zarz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dzonych w zwi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zku z up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ywem obecnej kadencji organ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jednostek samorz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du terytorialnego.</w:t>
      </w:r>
    </w:p>
    <w:p>
      <w:pPr>
        <w:pStyle w:val="List Paragraph"/>
        <w:spacing w:after="0"/>
        <w:jc w:val="both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2. Przepis art. 4 pkt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128 ustawy, o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rej mowa w art. 4 w brzmieniu nadanym niniejsz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ustaw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, ma zastosowanie po raz pierwszy do wybor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w 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jt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w, burmistrz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i prezydent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miast, przeprowadzonych na obszarze ca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ego kraju, zarz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dzonych w zwi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zku z up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ywem obecnej kadencji organ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jednostek samorz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du terytorialnego. </w:t>
      </w:r>
    </w:p>
    <w:p>
      <w:pPr>
        <w:pStyle w:val="List Paragraph"/>
        <w:spacing w:after="0"/>
        <w:jc w:val="both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3. Przepis ust. 1 stosuje si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odpowiednio do przepisu art. 4 pkt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 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129 ustawy, o kt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rej mowa w art. 4 w brzmieniu nadanym niniejsz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ustaw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.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”</w:t>
      </w:r>
    </w:p>
    <w:p>
      <w:pPr>
        <w:pStyle w:val="List Paragraph"/>
        <w:spacing w:after="0"/>
        <w:jc w:val="both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  <w:tab/>
        <w:t>Przy przyj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ciu proponowanego rodzaju redakcji art. 13, przepis art. 14 Projektu 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by pozosta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bez zmian.</w:t>
      </w:r>
    </w:p>
    <w:p>
      <w:pPr>
        <w:pStyle w:val="Normal.0"/>
        <w:spacing w:after="0"/>
        <w:jc w:val="both"/>
        <w:rPr>
          <w:sz w:val="24"/>
          <w:szCs w:val="24"/>
        </w:rPr>
      </w:pPr>
    </w:p>
    <w:p>
      <w:pPr>
        <w:pStyle w:val="Normal.0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ab/>
        <w:t>W 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zku z omawianymi tre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ciami Projektu pozostaje, poniewa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wnie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oznacza ograniczenie biernego prawa wyborczego, tym razem jednak og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lne, a nie dotycz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tylko kandydat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na 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jt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burmistrz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i prezydent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miast, propozycja sformu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owana w art. 121 drugiego z wymienionych na wst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pie projekt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mianowicie projektu ustawy o jawno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  <w:lang w:val="it-IT"/>
        </w:rPr>
        <w:t xml:space="preserve">ci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ycia publicznego. Jest to (pkt 1 art. 121), bardzo niegramatycznie przedstawiona, propozycja dodania w art. 11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2 Kodeksu pkt 3, przewiduj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cego brak biernego prawa wyborczego w razie naruszenia w okresie 4 lat poprzedzaj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dat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wybor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ustawowych zakaz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czenia funkcji pochodz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z wybor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o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rych mowa w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1 (w tym w wyborach samorz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dowych), z wykonywaniem funkcji lub prowadzeniem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gospodarczej, 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lonych w odr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bnych przepisach. Jak by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o tym mowa, pozbawienie biernego prawa wyborczego do Sejmu i Senatu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skazanych wymaga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o zmiany Konstytucji, co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wiadczy o wyj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tkowo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pozbawiania biernego prawa wyborczego, a tym bardziej nakazuje dokonanie przekonywuj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cego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rachunku aksjologicznego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z uwzgl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dnieniem zasady proporcjonalno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ci. Zarazem, jak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wnie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by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 o tym mowa,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 jedynie na przysz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>. Zak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 dokonanie odpowiedniego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  <w:lang w:val="de-DE"/>
        </w:rPr>
        <w:t>rachunku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i przyj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cie takiego rozwi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zania, 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y, poza wskazan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niegramatyczno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omawianego projektu, zwr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uwag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na jego niedookre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>. O ile bowiem prawomocne skazanie przez 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 jest, w razie zaistnienia, okoliczno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bezsporn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, o tyle samo naruszenie ustawowego zakazu (niekoniecznie bowiem co najmniej dw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ch zakaz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jak to zapisano) nie jest okoliczno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bezsporn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, bowiem, aby by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bezsporne,  powinno ono by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prawomocnie stwierdzone w odpowiednim post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powaniu; takie uzupe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nienie analizowanej propozycji, w razie przyj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 potrzeby odpowiedniego rozwi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zania, uzna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  <w:lang w:val="it-IT"/>
        </w:rPr>
        <w:t>nale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 za niezb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dne.</w:t>
      </w:r>
    </w:p>
    <w:p>
      <w:pPr>
        <w:pStyle w:val="Normal.0"/>
        <w:spacing w:after="0"/>
        <w:jc w:val="both"/>
        <w:rPr>
          <w:sz w:val="24"/>
          <w:szCs w:val="24"/>
        </w:rPr>
      </w:pPr>
    </w:p>
    <w:p>
      <w:pPr>
        <w:pStyle w:val="Normal.0"/>
        <w:spacing w:after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ab/>
        <w:t>Podobnego uzupe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nienia mog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yby wymaga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dwie dalsze proponowane zmiany Kodeksu (art. 121 pkt 2 i 3 omawianej ustawy), dotycz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lnej przes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anki wyga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 mandatu, odpowiednio, radnego i 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jta (burmistrza, prezydenta miasta). Poniewa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jednak stanowi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one jedynie formaln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zmian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brzmienia funkcjonuj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obecnie przepis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co do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rych nie ma w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tpliwo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co do trybu efektywnego stwierdzania wyga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ni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cia mandatu, a do tego nie stanowi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one o ograniczeniu biernego prawa wyborczego na okoliczno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wybor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mo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na je potraktowa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jako wprowadzaj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zmian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techniczn</w:t>
      </w:r>
      <w:r>
        <w:rPr>
          <w:sz w:val="24"/>
          <w:szCs w:val="24"/>
          <w:rtl w:val="0"/>
        </w:rPr>
        <w:t xml:space="preserve">ą – </w:t>
      </w:r>
      <w:r>
        <w:rPr>
          <w:sz w:val="24"/>
          <w:szCs w:val="24"/>
          <w:rtl w:val="0"/>
        </w:rPr>
        <w:t>w odr</w:t>
      </w:r>
      <w:r>
        <w:rPr>
          <w:sz w:val="24"/>
          <w:szCs w:val="24"/>
          <w:rtl w:val="0"/>
        </w:rPr>
        <w:t>óż</w:t>
      </w:r>
      <w:r>
        <w:rPr>
          <w:sz w:val="24"/>
          <w:szCs w:val="24"/>
          <w:rtl w:val="0"/>
        </w:rPr>
        <w:t>nieniu od wa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nych merytorycznie zmian stanowi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podstawowy przedmiot niniejszej opinii.</w:t>
      </w:r>
    </w:p>
    <w:p>
      <w:pPr>
        <w:pStyle w:val="Normal.0"/>
        <w:spacing w:after="0"/>
        <w:jc w:val="both"/>
        <w:rPr>
          <w:sz w:val="24"/>
          <w:szCs w:val="24"/>
        </w:rPr>
      </w:pPr>
    </w:p>
    <w:p>
      <w:pPr>
        <w:pStyle w:val="Normal.0"/>
        <w:spacing w:after="0"/>
        <w:jc w:val="both"/>
        <w:rPr>
          <w:sz w:val="24"/>
          <w:szCs w:val="24"/>
        </w:rPr>
      </w:pPr>
    </w:p>
    <w:p>
      <w:pPr>
        <w:pStyle w:val="Normal.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3947160</wp:posOffset>
            </wp:positionH>
            <wp:positionV relativeFrom="line">
              <wp:posOffset>60959</wp:posOffset>
            </wp:positionV>
            <wp:extent cx="1367156" cy="10871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zdeb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zdebski" descr="Izdebski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6" cy="1087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/>
        <w:jc w:val="both"/>
        <w:rPr>
          <w:sz w:val="24"/>
          <w:szCs w:val="24"/>
        </w:rPr>
      </w:pPr>
    </w:p>
    <w:p>
      <w:pPr>
        <w:pStyle w:val="Normal.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Normal.0"/>
        <w:spacing w:after="0"/>
        <w:ind w:firstLine="708"/>
        <w:jc w:val="both"/>
        <w:rPr>
          <w:strike w:val="1"/>
          <w:dstrike w:val="0"/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after="0"/>
        <w:ind w:firstLine="708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Espertyza prawna wykonana na zlecenie Unii Metropolii Polskich</w:t>
      </w:r>
    </w:p>
    <w:sectPr>
      <w:headerReference w:type="default" r:id="rId5"/>
      <w:footerReference w:type="default" r:id="rId6"/>
      <w:pgSz w:w="11900" w:h="16840" w:orient="portrait"/>
      <w:pgMar w:top="709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